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Depresija u dječjoj i adolescentnoj dobi - letak za roditelje</w:t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Što je depresija?</w:t>
      </w:r>
    </w:p>
    <w:p>
      <w:pPr>
        <w:pStyle w:val="Normal"/>
        <w:spacing w:before="0" w:after="160"/>
        <w:rPr/>
      </w:pPr>
      <w:r>
        <w:rPr/>
        <w:t xml:space="preserve">Depresija je poremećaj raspoloženja, ona je  bolest kao dijabetes ili povišeni krvni tlak. Od depresije ne obolijevaju samo odrasle osobe već se javlja i u djece i adolescenata. Kod oko  2 posto djece u pred adolescentoj dobi javlja se depresija, jednako kod dječaka i djevojčica. U adolescenciji približno 4-8 posto mladih razvije depresiju, tada djevojke obolijevaju dva puta češće od mladića. </w:t>
      </w:r>
    </w:p>
    <w:p>
      <w:pPr>
        <w:pStyle w:val="Normal"/>
        <w:spacing w:before="0" w:after="160"/>
        <w:rPr/>
      </w:pPr>
      <w:r>
        <w:rPr/>
        <w:t xml:space="preserve">Postoje brojne teorije o uzrocima depresije. Važnu ulogu ima genetska predispozicija, način života, ponašanje u različitim situacijama, način razmišljanja, pogled na sebe, svijet i budućnost, odnosi u obitelji, socijalne interakcije... Ponekad depresija krene nakon očitih uzroka iz okoline; stresni događaj, nove zahtjevne situacije, gubitak važne osobe ili odnosa i slično, ali ponekad počne i bez nekog očitog uzroka. </w:t>
      </w:r>
    </w:p>
    <w:p>
      <w:pPr>
        <w:pStyle w:val="Normal"/>
        <w:spacing w:before="0" w:after="160"/>
        <w:rPr/>
      </w:pPr>
      <w:r>
        <w:rPr/>
        <w:t xml:space="preserve">Na sreću depresija je izlječiva i </w:t>
      </w:r>
      <w:r>
        <w:rPr>
          <w:b/>
        </w:rPr>
        <w:t>postoje načini na koje je moguće pomoći djetetu ili mladoj osobi</w:t>
      </w:r>
      <w:r>
        <w:rPr/>
        <w:t xml:space="preserve">. Prvo što kao roditelj možete učiniti je upoznati se sa simptomima depresije, razgovarati o problemu i </w:t>
      </w:r>
      <w:r>
        <w:rPr>
          <w:b/>
        </w:rPr>
        <w:t>pružiti podršku</w:t>
      </w:r>
      <w:r>
        <w:rPr/>
        <w:t xml:space="preserve"> vašem djetetu.  </w:t>
      </w:r>
    </w:p>
    <w:p>
      <w:pPr>
        <w:pStyle w:val="Normal"/>
        <w:spacing w:before="0" w:after="160"/>
        <w:rPr>
          <w:b w:val="false"/>
          <w:bCs w:val="false"/>
        </w:rPr>
      </w:pPr>
      <w:r>
        <w:rPr/>
        <w:t>Važno je razlikovati depresivno raspoloženje, koje svi ponekad imamo, od depresivnog poremećaja. O poremećaju se radi kada depresivni simptomi imaju negativne posljedice na svakodnevno funkcioniranje djete</w:t>
      </w:r>
      <w:r>
        <w:rPr>
          <w:b w:val="false"/>
          <w:bCs w:val="false"/>
        </w:rPr>
        <w:t xml:space="preserve">ta kao što je učenje, društveni život, sportske aktivnosti, funkcioniranje u obitelji. Pvremena loša raspoloženja i burne emocionalne reakcije su normalni dio adolescencije, ali depresija je nešto drugačije. </w:t>
      </w:r>
    </w:p>
    <w:p>
      <w:pPr>
        <w:pStyle w:val="Normal"/>
        <w:spacing w:before="0" w:after="160"/>
        <w:rPr/>
      </w:pPr>
      <w:r>
        <w:rPr>
          <w:b w:val="false"/>
          <w:bCs w:val="false"/>
        </w:rPr>
        <w:t xml:space="preserve">Moguće je </w:t>
      </w:r>
      <w:r>
        <w:rPr/>
        <w:t>da se radi o depresiji kod djece i adolescenata kada žalosno, razdražljivo pa čak i agresivno raspoloženje</w:t>
      </w:r>
      <w:r>
        <w:rPr>
          <w:b w:val="false"/>
          <w:bCs w:val="false"/>
        </w:rPr>
        <w:t xml:space="preserve">, gubitak interesa ili zadovoljstva u svim ili gotovo svim aktivnostima, traje najmanje 2 tjedna </w:t>
      </w:r>
      <w:r>
        <w:rPr/>
        <w:t xml:space="preserve">uz još neke znakove: promjene apetita s vidljivim padom (kod manje djece s nenapredovanjem) ili povećanjem tjelesne mase, promjene u navikama spavanja (teško usnivanje, buđenje noću, rano jutarnje buđenje ili prekomjerno spavanje), umor ili gubitak energije, snage, neopravdani osjećaj krivnje i samopredbacivanja, nesposobnost koncentracije i donošenja odluka, osjećaj beznađa i bespomoćnosti, misli o smrti i samoubojstvu koje se vraćaju, čežnja za smrću i pokušaji samoubojstva. </w:t>
      </w:r>
    </w:p>
    <w:p>
      <w:pPr>
        <w:pStyle w:val="Normal"/>
        <w:spacing w:before="0" w:after="160"/>
        <w:rPr/>
      </w:pPr>
      <w:r>
        <w:rPr/>
        <w:t>DJECA:</w:t>
      </w:r>
    </w:p>
    <w:p>
      <w:pPr>
        <w:pStyle w:val="Normal"/>
        <w:spacing w:before="0" w:after="160"/>
        <w:rPr/>
      </w:pPr>
      <w:r>
        <w:rPr/>
        <w:t>Djeca do 3 godine- govori se o depresivnoj tendenciji ili poremećaju čiji simptomi mogu biti: slaba motorička aktivnost, tužan izgled, naglašeno oskudno plakanje, poremećaj teka i spavanja, usporen rast i razvoj, nedostatak uživanja u aktivnostima primjerenim dobi, smanjeno zanimanje za igru i drugu djecu.</w:t>
      </w:r>
    </w:p>
    <w:p>
      <w:pPr>
        <w:pStyle w:val="Normal"/>
        <w:spacing w:before="0" w:after="160"/>
        <w:rPr/>
      </w:pPr>
      <w:r>
        <w:rPr/>
        <w:t>Predškolska djeca i djeca u nižim razredima osnovne škole:  Izgledaju žalosno, govore monotonim glasom, usporenih su pokreta, usamljena. Koncentracija i pažnja postaju im problem što se može odraziti na školskom uspjehu. Djeca često izražavaju razdražljivost, strah (školska fobija), nelagodu kod odvajanja, dosadu i probleme ponašanja. Depresija je često prikrivena i tjelesnim smetnjama kao što su bol u trbuhu ili glavobolja za koje ne postoje tjelesni uzroci.</w:t>
      </w:r>
    </w:p>
    <w:p>
      <w:pPr>
        <w:pStyle w:val="Normal"/>
        <w:spacing w:before="0" w:after="160"/>
        <w:rPr/>
      </w:pPr>
      <w:r>
        <w:rPr/>
        <w:t xml:space="preserve">Katkada se raspoloženje privremeno poboljša sudjelovanjem u zabavnim aktivnostima iako se u takve aktivnosti samoinicijativno rjeđe i teže upuštaju od djece koja ne pate od depresije. Skloni su pretjeranoj samokritičnosti i javlja se strah da će ih drugi gledati njihovim kritičnim očima. A kada se u aktivnosti upuštaju sklonija su destrukciji i agresivnoj igri. </w:t>
      </w:r>
    </w:p>
    <w:p>
      <w:pPr>
        <w:pStyle w:val="Normal"/>
        <w:spacing w:before="0" w:after="160"/>
        <w:rPr/>
      </w:pPr>
      <w:r>
        <w:rPr/>
        <w:t>ADOLESCENTI:</w:t>
      </w:r>
    </w:p>
    <w:p>
      <w:pPr>
        <w:pStyle w:val="Normal"/>
        <w:spacing w:before="0" w:after="160"/>
        <w:rPr/>
      </w:pPr>
      <w:r>
        <w:rPr/>
        <w:t xml:space="preserve">Depresija kod adolescenata sličnija je onoj u odrasloj dobi. Česti simptomi su bezvoljnost, nemogućnost uživanja u stvarima koje su ih prije veselile, potištenost, ravnodušnost, beznadnost, uzaludnost, tugu, osjećaj krivnje, sniženo samopouzdanje i samopoštovanje, gubitak energije, psihomotorna usporenost i dosada. Apetit im se može smanjiti ili su skloni prejedanjima što donosi kratkotrajno zadovoljstvo. </w:t>
      </w:r>
    </w:p>
    <w:p>
      <w:pPr>
        <w:pStyle w:val="Normal"/>
        <w:spacing w:before="0" w:after="160"/>
        <w:rPr/>
      </w:pPr>
      <w:r>
        <w:rPr/>
        <w:t xml:space="preserve">Adolescentna depresija često se maskira u različitim oblicima odstupanja u ponašanju , agresivnosti, kršenju normi i pravila ponašanja, otporu posebno prema autoritetima. A karakterizira je i nisko samopoštovanje i često se adolescenti opisuju negativno; ''ja sam glup, loš, nitko me ne voli, smotan sam…''  Mogu biti Razdražljivi, povučeni u društvenim kontaktima i nesposobni suočiti se s frustracijama bez izljeva bijesa. Povremeno se sami pokušavaju ''liječiti'' drogama i alkoholom, mogu se ponašati promiskuitetno te bježati od kuće. </w:t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Liječenje</w:t>
      </w:r>
    </w:p>
    <w:p>
      <w:pPr>
        <w:pStyle w:val="Normal"/>
        <w:spacing w:before="0" w:after="160"/>
        <w:rPr/>
      </w:pPr>
      <w:bookmarkStart w:id="0" w:name="_gjdgxs"/>
      <w:bookmarkEnd w:id="0"/>
      <w:r>
        <w:rPr/>
        <w:t xml:space="preserve">Depresija je poremećaj koji se može liječiti, i potrebno je početi čim prije. Kognitivno bihevioralna terapija pokazala se učinkovitom u rješavanju dječje i adolescentne depresije. Ponekad su potrebni i lijekovi, različite vrste antidepresiva, koje može preporučiti liječnik. Pokazalo se da kod određenog broja pacijenata, ovisno o dobi i stanju, lijekovi u kombinaciji sa KBTom pokazuju iznimnu učinkovitost. </w:t>
      </w:r>
    </w:p>
    <w:p>
      <w:pPr>
        <w:pStyle w:val="Normal"/>
        <w:spacing w:before="0" w:after="160"/>
        <w:rPr>
          <w:b/>
        </w:rPr>
      </w:pPr>
      <w:r>
        <w:rPr>
          <w:b/>
        </w:rPr>
        <w:t>Što je KBT?</w:t>
      </w:r>
    </w:p>
    <w:p>
      <w:pPr>
        <w:pStyle w:val="Normal"/>
        <w:spacing w:before="0" w:after="160"/>
        <w:rPr/>
      </w:pPr>
      <w:r>
        <w:rPr/>
        <w:t>Kognitivno bihevioralna terapija (KBT) je vrlo učinkovit način na koji možemo pomoći djeci u prevladavanju problema. Usmjerena je na sadašnjost i temelji se na ideji da ono što MISLIMO utječe na to kako se OSIJEĆAMO i na ono što RADIMO.</w:t>
      </w:r>
    </w:p>
    <w:p>
      <w:pPr>
        <w:pStyle w:val="Normal"/>
        <w:spacing w:before="0" w:after="160"/>
        <w:rPr/>
      </w:pPr>
      <w:r>
        <w:rPr/>
        <w:drawing>
          <wp:anchor behindDoc="0" distT="0" distB="0" distL="114300" distR="114300" simplePos="0" locked="0" layoutInCell="1" allowOverlap="1" relativeHeight="0">
            <wp:simplePos x="0" y="0"/>
            <wp:positionH relativeFrom="margin">
              <wp:posOffset>1841500</wp:posOffset>
            </wp:positionH>
            <wp:positionV relativeFrom="paragraph">
              <wp:posOffset>127000</wp:posOffset>
            </wp:positionV>
            <wp:extent cx="1638300" cy="838200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NEGATIVNA ZAMKA</w:t>
      </w:r>
    </w:p>
    <w:p>
      <w:pPr>
        <w:pStyle w:val="Normal"/>
        <w:rPr>
          <w:b/>
        </w:rPr>
      </w:pPr>
      <w:r>
        <w:rPr>
          <w:b/>
        </w:rPr>
      </w:r>
      <w:r>
        <w:pict>
          <v:rect fillcolor="#5B9BD5" strokecolor="#1F4D78" strokeweight="1pt" style="position:absolute;width:128.25pt;height:69.4pt;mso-wrap-distance-left:9pt;mso-wrap-distance-right:9pt;mso-wrap-distance-top:0pt;mso-wrap-distance-bottom:0pt;margin-top:11.2pt;margin-left:145.9pt">
            <v:textbox>
              <w:txbxContent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>MISLI</w:t>
                  </w:r>
                </w:p>
                <w:p>
                  <w:pPr>
                    <w:pStyle w:val="FrameContents"/>
                    <w:spacing w:before="0" w:after="160"/>
                    <w:jc w:val="center"/>
                    <w:rPr/>
                  </w:pPr>
                  <w:r>
                    <w:rPr/>
                    <w:t xml:space="preserve">Negativne ili kritične </w:t>
                  </w:r>
                </w:p>
              </w:txbxContent>
            </v:textbox>
          </v:rect>
        </w:pic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bookmarkStart w:id="1" w:name="__UnoMark__71_73466018"/>
      <w:bookmarkStart w:id="2" w:name="__UnoMark__71_73466018"/>
      <w:bookmarkEnd w:id="2"/>
      <w:r>
        <w:rPr>
          <w:b/>
        </w:rPr>
        <w:pict>
          <v:shapetype id="shapetype_32" coordsize="21600,21600" o:spt="32" path="m,l21600,21600nfe">
            <v:stroke joinstyle="miter"/>
            <v:path gradientshapeok="t" o:connecttype="rect" textboxrect="0,0,21600,21600"/>
          </v:shapetype>
          <v:shape id="shape_0" stroked="t" style="position:absolute;margin-left:84.95pt;margin-top:9.65pt;width:50.15pt;height:45.65pt;flip:x" type="shapetype_32">
            <v:wrap v:type="none"/>
            <v:fill on="false" detectmouseclick="t"/>
            <v:stroke color="#5b9bd5" weight="6480" endarrow="block" endarrowwidth="medium" endarrowlength="medium" joinstyle="miter" endcap="flat"/>
          </v:shape>
        </w:pict>
      </w:r>
    </w:p>
    <w:p>
      <w:pPr>
        <w:pStyle w:val="Normal"/>
        <w:rPr>
          <w:b/>
        </w:rPr>
      </w:pPr>
      <w:bookmarkStart w:id="3" w:name="__UnoMark__75_73466018"/>
      <w:bookmarkStart w:id="4" w:name="__UnoMark__75_73466018"/>
      <w:bookmarkEnd w:id="4"/>
      <w:r>
        <w:rPr>
          <w:b/>
        </w:rPr>
        <w:pict>
          <v:shape id="shape_0" stroked="t" style="position:absolute;margin-left:273.5pt;margin-top:-5pt;width:49.95pt;height:40.7pt" type="shapetype_32">
            <v:wrap v:type="none"/>
            <v:fill on="false" detectmouseclick="t"/>
            <v:stroke color="#5b9bd5" weight="6480" endarrow="block" endarrowwidth="medium" endarrowlength="medium" joinstyle="miter" endcap="flat"/>
          </v:shape>
        </w:pict>
      </w:r>
    </w:p>
    <w:p>
      <w:pPr>
        <w:pStyle w:val="Normal"/>
        <w:rPr>
          <w:b/>
        </w:rPr>
      </w:pPr>
      <w:r>
        <w:rPr>
          <w:b/>
        </w:rPr>
      </w:r>
      <w:r>
        <w:pict>
          <v:rect fillcolor="#5B9BD5" strokecolor="#41719C" strokeweight="1pt" style="position:absolute;width:128.25pt;height:90.5pt;mso-wrap-distance-left:9pt;mso-wrap-distance-right:9pt;mso-wrap-distance-top:0pt;mso-wrap-distance-bottom:0pt;margin-top:22.5pt;margin-left:0.05pt">
            <v:textbox>
              <w:txbxContent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>ŠTO ČINIMO</w:t>
                  </w:r>
                </w:p>
                <w:p>
                  <w:pPr>
                    <w:pStyle w:val="FrameContents"/>
                    <w:spacing w:before="0" w:after="160"/>
                    <w:jc w:val="center"/>
                    <w:rPr/>
                  </w:pPr>
                  <w:r>
                    <w:rPr/>
                    <w:t>Odustajemo, izbjegavamo, ležimo, jedemo, plačemo…</w:t>
                  </w:r>
                </w:p>
              </w:txbxContent>
            </v:textbox>
          </v:rect>
        </w:pict>
      </w:r>
    </w:p>
    <w:p>
      <w:pPr>
        <w:pStyle w:val="Normal"/>
        <w:rPr>
          <w:b/>
        </w:rPr>
      </w:pPr>
      <w:r>
        <w:rPr>
          <w:b/>
        </w:rPr>
      </w:r>
      <w:r>
        <w:pict>
          <v:rect fillcolor="#5B9BD5" strokecolor="#41719C" strokeweight="1pt" style="position:absolute;width:128.25pt;height:81.9pt;mso-wrap-distance-left:9pt;mso-wrap-distance-right:9pt;mso-wrap-distance-top:0pt;mso-wrap-distance-bottom:0pt;margin-top:0.75pt;margin-left:307.15pt">
            <v:textbox>
              <w:txbxContent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>NEUGODNI OSJEĆAJI</w:t>
                  </w:r>
                </w:p>
                <w:p>
                  <w:pPr>
                    <w:pStyle w:val="FrameContents"/>
                    <w:spacing w:before="0" w:after="160"/>
                    <w:jc w:val="center"/>
                    <w:rPr/>
                  </w:pPr>
                  <w:r>
                    <w:rPr/>
                    <w:t>Tuga, zabrinutost, beznađe…</w:t>
                  </w:r>
                </w:p>
              </w:txbxContent>
            </v:textbox>
          </v:rect>
        </w:pict>
      </w:r>
    </w:p>
    <w:p>
      <w:pPr>
        <w:pStyle w:val="Normal"/>
        <w:rPr>
          <w:b/>
        </w:rPr>
      </w:pPr>
      <w:bookmarkStart w:id="5" w:name="__UnoMark__95_73466018"/>
      <w:bookmarkStart w:id="6" w:name="__UnoMark__95_73466018"/>
      <w:bookmarkEnd w:id="6"/>
      <w:r>
        <w:rPr>
          <w:b/>
        </w:rPr>
      </w:r>
    </w:p>
    <w:p>
      <w:pPr>
        <w:pStyle w:val="Normal"/>
        <w:spacing w:before="0" w:after="160"/>
        <w:rPr/>
      </w:pPr>
      <w:r>
        <w:rPr/>
        <w:pict>
          <v:shape id="shape_0" stroked="t" style="position:absolute;margin-left:138.8pt;margin-top:2.25pt;width:161.9pt;height:3.5pt;flip:x" type="shapetype_32">
            <v:wrap v:type="none"/>
            <v:fill on="false" detectmouseclick="t"/>
            <v:stroke color="#5b9bd5" weight="6480" endarrow="block" endarrowwidth="medium" endarrowlength="medium" joinstyle="miter" endcap="flat"/>
          </v:shape>
        </w:pic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  <w:t xml:space="preserve">U KBTu pomažemo djetetu da otkrije koji mu načini razmišljanja ne koriste, da samo otkrije povezanost između misli, osjećaja i ponašanja, da pronađe nove načine nošenja s neugodnim osjećajima, da prevlada probleme i radi stvari koje bi doista i željelo raditi. 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  <w:r>
        <w:pict>
          <v:rect fillcolor="#5B9BD5" strokecolor="#1F4D78" strokeweight="1pt" style="position:absolute;width:128.25pt;height:80.25pt;mso-wrap-distance-left:9pt;mso-wrap-distance-right:9pt;mso-wrap-distance-top:0pt;mso-wrap-distance-bottom:0pt;margin-top:10.9pt;margin-left:145.9pt">
            <v:textbox>
              <w:txbxContent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>MISLI</w:t>
                  </w:r>
                </w:p>
                <w:p>
                  <w:pPr>
                    <w:pStyle w:val="FrameContents"/>
                    <w:spacing w:before="0" w:after="160"/>
                    <w:jc w:val="center"/>
                    <w:rPr/>
                  </w:pPr>
                  <w:r>
                    <w:rPr/>
                    <w:t xml:space="preserve">Pozitivne stvari oko nas i jake strane  nove vještine </w:t>
                  </w:r>
                </w:p>
              </w:txbxContent>
            </v:textbox>
          </v:rect>
        </w:pic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bookmarkStart w:id="7" w:name="__UnoMark__128_73466018"/>
      <w:bookmarkStart w:id="8" w:name="__UnoMark__130_73466018"/>
      <w:bookmarkStart w:id="9" w:name="__UnoMark__128_73466018"/>
      <w:bookmarkStart w:id="10" w:name="__UnoMark__130_73466018"/>
      <w:bookmarkEnd w:id="9"/>
      <w:bookmarkEnd w:id="10"/>
      <w:r>
        <w:rPr>
          <w:b/>
        </w:rPr>
        <w:pict>
          <v:shape id="shape_0" stroked="t" style="position:absolute;margin-left:87.95pt;margin-top:14.15pt;width:50.15pt;height:45.65pt;flip:x" type="shapetype_32">
            <v:wrap v:type="none"/>
            <v:fill on="false" detectmouseclick="t"/>
            <v:stroke color="#5b9bd5" weight="6480" endarrow="block" endarrowwidth="medium" endarrowlength="medium" joinstyle="miter" endcap="flat"/>
          </v:shape>
        </w:pict>
        <w:pict>
          <v:shape id="shape_0" stroked="t" style="position:absolute;margin-left:277.9pt;margin-top:16.45pt;width:55.4pt;height:46.4pt" type="shapetype_32">
            <v:wrap v:type="none"/>
            <v:fill on="false" detectmouseclick="t"/>
            <v:stroke color="#5b9bd5" weight="6480" endarrow="block" endarrowwidth="medium" endarrowlength="medium" joinstyle="miter" endcap="flat"/>
          </v:shape>
        </w:pic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w:r>
        <w:pict>
          <v:rect fillcolor="#5B9BD5" strokecolor="#41719C" strokeweight="1pt" style="position:absolute;width:128.25pt;height:80.25pt;mso-wrap-distance-left:9pt;mso-wrap-distance-right:9pt;mso-wrap-distance-top:0pt;mso-wrap-distance-bottom:0pt;margin-top:22.5pt;margin-left:0.05pt">
            <v:textbox>
              <w:txbxContent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>ŠTO ČINIMO</w:t>
                  </w:r>
                </w:p>
                <w:p>
                  <w:pPr>
                    <w:pStyle w:val="FrameContents"/>
                    <w:spacing w:before="0" w:after="160"/>
                    <w:jc w:val="center"/>
                    <w:rPr/>
                  </w:pPr>
                  <w:r>
                    <w:rPr/>
                    <w:t>Igramo se, družimo se, rješavamo prepreke</w:t>
                  </w:r>
                </w:p>
              </w:txbxContent>
            </v:textbox>
          </v:rect>
        </w:pict>
      </w:r>
    </w:p>
    <w:p>
      <w:pPr>
        <w:pStyle w:val="Normal"/>
        <w:rPr>
          <w:b/>
        </w:rPr>
      </w:pPr>
      <w:bookmarkStart w:id="11" w:name="__UnoMark__144_73466018"/>
      <w:bookmarkStart w:id="12" w:name="__UnoMark__144_73466018"/>
      <w:bookmarkEnd w:id="12"/>
      <w:r>
        <w:rPr>
          <w:b/>
        </w:rPr>
        <w:pict>
          <v:shape id="shape_0" stroked="t" style="position:absolute;margin-left:135.35pt;margin-top:37.85pt;width:161.9pt;height:3.5pt;flip:x" type="shapetype_32">
            <v:wrap v:type="none"/>
            <v:fill on="false" detectmouseclick="t"/>
            <v:stroke color="#5b9bd5" weight="6480" endarrow="block" endarrowwidth="medium" endarrowlength="medium" joinstyle="miter" endcap="flat"/>
          </v:shape>
        </w:pict>
      </w:r>
      <w:r>
        <w:pict>
          <v:rect fillcolor="#5B9BD5" strokecolor="#41719C" strokeweight="1pt" style="position:absolute;width:128.25pt;height:79.5pt;mso-wrap-distance-left:9pt;mso-wrap-distance-right:9pt;mso-wrap-distance-top:0pt;mso-wrap-distance-bottom:0pt;margin-top:0.75pt;margin-left:307.15pt">
            <v:textbox>
              <w:txbxContent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>UGODNI OSJEĆAJI</w:t>
                  </w:r>
                </w:p>
                <w:p>
                  <w:pPr>
                    <w:pStyle w:val="FrameContents"/>
                    <w:spacing w:before="0" w:after="160"/>
                    <w:jc w:val="center"/>
                    <w:rPr/>
                  </w:pPr>
                  <w:r>
                    <w:rPr/>
                    <w:t>Sreća, ponos, opuštenost</w:t>
                  </w:r>
                </w:p>
              </w:txbxContent>
            </v:textbox>
          </v:rect>
        </w:pic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before="0" w:after="160"/>
        <w:rPr>
          <w:b/>
        </w:rPr>
      </w:pPr>
      <w:r>
        <w:rPr>
          <w:b/>
        </w:rPr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  <w:t>AKTIVNO SUDJELOVANJE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  <w:t xml:space="preserve">Za KBT bitno je da svi aktivno sudjelujemo u ovom procesu. Mi radimo zajedno s vama i vašim djetetom kako bismo mu pomogli da utvrdi svoje nekorisne načine razmišljanja, shvati zašto se ovi problemi događaju, istraži postoje li i neki drugi načini razmišljanja o stvarima, provede neke eksperimente i testira što je naučilo. Pronaći ćemo nove načine kontroliranja neugodnih osjećaja i nove načine rješavanja svakodnevnih problema. 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  <w:t>Literatura: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1. Paul Stallard/Misli dobro, osjećaj se dobro: kognitivno-bihevioralna terapija u radu s djecom i mladim ljudima. Vodič za kliničare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2. Živković Ž. Depresija kod djece i mladih, 2006. Tempo</w:t>
      </w:r>
    </w:p>
    <w:p>
      <w:pPr>
        <w:pStyle w:val="Normal"/>
        <w:spacing w:before="0" w:after="0"/>
        <w:rPr>
          <w:rStyle w:val="InternetLink"/>
          <w:color w:val="1155CC"/>
          <w:sz w:val="20"/>
          <w:szCs w:val="20"/>
          <w:u w:val="single"/>
        </w:rPr>
      </w:pPr>
      <w:r>
        <w:rPr>
          <w:rStyle w:val="InternetLink"/>
          <w:color w:val="1155CC"/>
          <w:sz w:val="20"/>
          <w:szCs w:val="20"/>
          <w:u w:val="single"/>
        </w:rPr>
        <w:t xml:space="preserve">3. </w:t>
      </w:r>
      <w:hyperlink r:id="rId3">
        <w:r>
          <w:rPr>
            <w:rStyle w:val="InternetLink"/>
            <w:color w:val="1155CC"/>
            <w:sz w:val="20"/>
            <w:szCs w:val="20"/>
            <w:u w:val="single"/>
          </w:rPr>
          <w:t>https://repozitorij.mef.unizg.hr/en/islandora/object/mef%3A215/datastream/PDF/view</w:t>
        </w:r>
      </w:hyperlink>
    </w:p>
    <w:p>
      <w:pPr>
        <w:pStyle w:val="Normal"/>
        <w:spacing w:before="0" w:after="0"/>
        <w:rPr>
          <w:rStyle w:val="InternetLink"/>
          <w:color w:val="1155CC"/>
          <w:sz w:val="20"/>
          <w:szCs w:val="20"/>
          <w:u w:val="single"/>
        </w:rPr>
      </w:pPr>
      <w:r>
        <w:rPr>
          <w:rStyle w:val="InternetLink"/>
          <w:color w:val="1155CC"/>
          <w:sz w:val="20"/>
          <w:szCs w:val="20"/>
          <w:u w:val="single"/>
        </w:rPr>
        <w:t xml:space="preserve">4. </w:t>
      </w:r>
      <w:hyperlink r:id="rId4">
        <w:r>
          <w:rPr>
            <w:rStyle w:val="InternetLink"/>
            <w:color w:val="1155CC"/>
            <w:sz w:val="20"/>
            <w:szCs w:val="20"/>
            <w:u w:val="single"/>
          </w:rPr>
          <w:t>http://djecja-psihijatrija.hr/depresija-u-djecjoj-i-adolescentnoj-dobi/</w:t>
        </w:r>
      </w:hyperlink>
    </w:p>
    <w:p>
      <w:pPr>
        <w:pStyle w:val="Normal"/>
        <w:spacing w:before="0" w:after="0"/>
        <w:rPr>
          <w:sz w:val="20"/>
          <w:szCs w:val="20"/>
        </w:rPr>
      </w:pPr>
      <w:bookmarkStart w:id="13" w:name="__DdeLink__353_73466018"/>
      <w:bookmarkEnd w:id="13"/>
      <w:r>
        <w:rPr>
          <w:sz w:val="20"/>
          <w:szCs w:val="20"/>
        </w:rPr>
        <w:t>5. Leahy, R. L., Holland, S. J. i McGinn, L. K. (2014). Planovi tretmana i intervencije za depresiju i anksiozne poremećaje. Jastrebarsko: Naklada Slap.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>
          <w:b/>
        </w:rPr>
      </w:pPr>
      <w:r>
        <w:rPr>
          <w:b/>
        </w:rPr>
        <w:t>KAKO MOGU POMOĆI SVOME DJETETU?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>
          <w:b/>
        </w:rPr>
      </w:pPr>
      <w:r>
        <w:rPr>
          <w:b/>
        </w:rPr>
        <w:t>Pružite djeteteu PODRŠKU</w:t>
      </w:r>
    </w:p>
    <w:p>
      <w:pPr>
        <w:pStyle w:val="Normal"/>
        <w:spacing w:before="0" w:after="160"/>
        <w:rPr>
          <w:b/>
        </w:rPr>
      </w:pPr>
      <w:r>
        <w:rPr>
          <w:b/>
        </w:rPr>
        <w:t>P- Pokažite djetetu kako da bude uspješno</w:t>
      </w:r>
    </w:p>
    <w:p>
      <w:pPr>
        <w:pStyle w:val="Normal"/>
        <w:spacing w:before="0" w:after="160"/>
        <w:rPr/>
      </w:pPr>
      <w:r>
        <w:rPr/>
        <w:t>Djeca uče promatranjem drugih, naročito svojih roditelja. Budite pozitivan model svome djetetu i pokažite mu kako pristupiti i uspješno se suočavati s teškim situacijama umjesto da ih izbjegava</w:t>
      </w:r>
    </w:p>
    <w:p>
      <w:pPr>
        <w:pStyle w:val="Normal"/>
        <w:spacing w:before="0" w:after="160"/>
        <w:rPr>
          <w:b/>
        </w:rPr>
      </w:pPr>
      <w:r>
        <w:rPr>
          <w:b/>
        </w:rPr>
        <w:t>O- Ono ima problem i treba vašu pomoć-shvatite to</w:t>
      </w:r>
    </w:p>
    <w:p>
      <w:pPr>
        <w:pStyle w:val="Normal"/>
        <w:spacing w:before="0" w:after="160"/>
        <w:rPr/>
      </w:pPr>
      <w:r>
        <w:rPr/>
        <w:t xml:space="preserve">Suočavanje s brigama i problemimaje težak posao i djeca ponekad ne znaju što bi učinila ili usvoje loše načine suočavanja s problemima. Iako vama i drugima ponašanje vašeg djeteta može biti teško podnijeti, važno je zapamtiti da seono ne ponaša tako zato što je zločesto ili teško. </w:t>
      </w:r>
    </w:p>
    <w:p>
      <w:pPr>
        <w:pStyle w:val="Normal"/>
        <w:spacing w:before="0" w:after="160"/>
        <w:rPr>
          <w:b/>
        </w:rPr>
      </w:pPr>
      <w:r>
        <w:rPr>
          <w:b/>
        </w:rPr>
        <w:t>D- Dovoljno strpljenja u pristupu</w:t>
      </w:r>
    </w:p>
    <w:p>
      <w:pPr>
        <w:pStyle w:val="Normal"/>
        <w:spacing w:before="0" w:after="160"/>
        <w:rPr/>
      </w:pPr>
      <w:r>
        <w:rPr/>
        <w:t>Za promjenu treba vremena, zato nemojte očekivati promjene istog trenutka. Budite strpljivi, nagradite uspjeh i zapamtite da su privremeni zastoji česti. Potičite dijete da nastavi pokušavati i da ne odustaje- uspjet će mu!</w:t>
      </w:r>
    </w:p>
    <w:p>
      <w:pPr>
        <w:pStyle w:val="Normal"/>
        <w:spacing w:before="0" w:after="160"/>
        <w:rPr>
          <w:b/>
        </w:rPr>
      </w:pPr>
      <w:r>
        <w:rPr>
          <w:b/>
        </w:rPr>
        <w:t>R- Radite na tome da pokuša</w:t>
      </w:r>
    </w:p>
    <w:p>
      <w:pPr>
        <w:pStyle w:val="Normal"/>
        <w:spacing w:before="0" w:after="160"/>
        <w:rPr/>
      </w:pPr>
      <w:r>
        <w:rPr/>
        <w:t xml:space="preserve">Djeca ostanu zatočena u starim načinima razmišljanja i ponašanja pa će im trebati da ih podsjetite da koriste svoje nove vještine. Nadalje, neki im dijelovi programa mogu biti prilično teški. Jako je važno poticati ih da vježbaju i podsjećati ih da koriste novostečene vještine. </w:t>
      </w:r>
    </w:p>
    <w:p>
      <w:pPr>
        <w:pStyle w:val="Normal"/>
        <w:spacing w:before="0" w:after="160"/>
        <w:rPr>
          <w:b/>
        </w:rPr>
      </w:pPr>
      <w:r>
        <w:rPr>
          <w:b/>
        </w:rPr>
        <w:t>Š- Što ono čini? Promotrite.</w:t>
      </w:r>
    </w:p>
    <w:p>
      <w:pPr>
        <w:pStyle w:val="Normal"/>
        <w:spacing w:before="0" w:after="160"/>
        <w:rPr/>
      </w:pPr>
      <w:r>
        <w:rPr/>
        <w:t xml:space="preserve">Vaše se dijete možda ulovilo u negativnu zamku pa mu je teško vidjeti pozitivne stvari i uspjehe koji mu se događaju. Promatrajte što vaše dijete čini i pomognite mu da pronađe stvari koje su mu krenule na bolje. Pomažući djetetu da uvidi svoje uspjehe učinit će da se dobro osjeća, pokazati mu da napreduje i dati mu više samopouzdanja da pokuša ponovno. </w:t>
      </w:r>
    </w:p>
    <w:p>
      <w:pPr>
        <w:pStyle w:val="Normal"/>
        <w:spacing w:before="0" w:after="160"/>
        <w:rPr>
          <w:b/>
        </w:rPr>
      </w:pPr>
      <w:r>
        <w:rPr>
          <w:b/>
        </w:rPr>
        <w:t>K- Kada uloži trud, nagradite ga i pohvalite</w:t>
      </w:r>
    </w:p>
    <w:p>
      <w:pPr>
        <w:pStyle w:val="Normal"/>
        <w:spacing w:before="0" w:after="160"/>
        <w:rPr/>
      </w:pPr>
      <w:r>
        <w:rPr/>
        <w:t xml:space="preserve">Pružate svome djetetu pažnju kada vježba ili koristi nove vještine. Djeca se često više trude kad znaju da vas zanima to što čine i da ćete ih pohvaliti. Možete koristiti i male nagrade kao što je dopustiti da ostane duže budno, dodatno vrijeme za kompjutorom, gledanje filma ili pozivanje prijatelja da prenoći. Nagrade vas ne morau stajati novca. Dogovorite se s djetetom što bi mogla biti posebna nagrada. </w:t>
      </w:r>
    </w:p>
    <w:p>
      <w:pPr>
        <w:pStyle w:val="Normal"/>
        <w:spacing w:before="0" w:after="160"/>
        <w:rPr>
          <w:b/>
        </w:rPr>
      </w:pPr>
      <w:r>
        <w:rPr>
          <w:b/>
        </w:rPr>
        <w:t>A- Ako je dijete voljno, razgovarajte o tome što ono čini.</w:t>
      </w:r>
    </w:p>
    <w:p>
      <w:pPr>
        <w:pStyle w:val="Normal"/>
        <w:spacing w:before="0" w:after="160"/>
        <w:rPr/>
      </w:pPr>
      <w:r>
        <w:rPr/>
        <w:t xml:space="preserve">Razgovor s djetetom može mu pomoći da osjeti podršku i da osjeti da je shvaćeno. Kada mu pokažete da vas zanima što govori, to pomaže njegovu samopoštovanju. Razgovor o svakoj seansi nudi način ponavljanja glavnih točaka o kojima je učio i naglašavanja glavnih poruka. Ipak, trebali biste izbjegavati gnjaviti svoje dijete pitanjima nakon svake seanse- ima trenutaka kada ono o tome ne želi pričati. </w:t>
      </w:r>
    </w:p>
    <w:p>
      <w:pPr>
        <w:pStyle w:val="Normal"/>
        <w:spacing w:lineRule="auto" w:line="259" w:before="0" w:after="160"/>
        <w:ind w:left="720" w:right="0" w:hanging="0"/>
        <w:rPr>
          <w:rFonts w:eastAsia="Calibri" w:cs="Calibri"/>
          <w:b w:val="false"/>
          <w:sz w:val="16"/>
          <w:szCs w:val="16"/>
        </w:rPr>
      </w:pPr>
      <w:r>
        <w:rPr>
          <w:rFonts w:eastAsia="Calibri" w:cs="Calibri"/>
          <w:b w:val="false"/>
          <w:sz w:val="16"/>
          <w:szCs w:val="16"/>
        </w:rPr>
        <w:t>Paul Stallard/Misli dobro, osjećaj se dobro: kognitivno-bihevioralna terapija u radu s djecom i mladim ljudima. Vodič za kliničare Copyright © 2005. John Wiley &amp; Sons Ltd, The Atrium, Southern Gate, Chichester, West Sussex PO19 8SQ, England © 2010. Naklada Slap za prijevod na hrvatski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575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000000"/>
        <w:sz w:val="22"/>
        <w:szCs w:val="22"/>
        <w:lang w:val="hr-HR" w:eastAsia="zh-CN" w:bidi="hi-IN"/>
      </w:rPr>
    </w:rPrDefault>
    <w:pPrDefault>
      <w:pPr>
        <w:widowControl/>
        <w:spacing w:lineRule="auto" w:line="259"/>
      </w:pPr>
    </w:pPrDefault>
  </w:docDefaults>
  <w:style w:type="paragraph" w:styleId="Normal">
    <w:name w:val="Normal"/>
    <w:pPr>
      <w:keepNext/>
      <w:keepLines w:val="false"/>
      <w:widowControl/>
      <w:suppressAutoHyphens w:val="true"/>
      <w:overflowPunct w:val="false"/>
      <w:bidi w:val="0"/>
      <w:spacing w:lineRule="auto" w:line="259" w:before="0" w:after="16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  <w:lang w:val="hr-HR" w:eastAsia="zh-CN" w:bidi="hi-IN"/>
    </w:rPr>
  </w:style>
  <w:style w:type="paragraph" w:styleId="Heading1">
    <w:name w:val="Heading 1"/>
    <w:next w:val="Normal"/>
    <w:pPr>
      <w:keepNext/>
      <w:keepLines/>
      <w:widowControl/>
      <w:suppressAutoHyphens w:val="true"/>
      <w:spacing w:lineRule="auto" w:line="240" w:before="480" w:after="120"/>
      <w:contextualSpacing/>
    </w:pPr>
    <w:rPr>
      <w:rFonts w:ascii="Calibri" w:hAnsi="Calibri" w:eastAsia="Calibri" w:cs="Calibri"/>
      <w:b/>
      <w:color w:val="000000"/>
      <w:sz w:val="48"/>
      <w:szCs w:val="48"/>
      <w:lang w:val="hr-HR" w:eastAsia="zh-CN" w:bidi="hi-IN"/>
    </w:rPr>
  </w:style>
  <w:style w:type="paragraph" w:styleId="Heading2">
    <w:name w:val="Heading 2"/>
    <w:next w:val="Normal"/>
    <w:pPr>
      <w:keepNext/>
      <w:keepLines/>
      <w:widowControl/>
      <w:suppressAutoHyphens w:val="true"/>
      <w:spacing w:lineRule="auto" w:line="240" w:before="360" w:after="80"/>
      <w:contextualSpacing/>
    </w:pPr>
    <w:rPr>
      <w:rFonts w:ascii="Calibri" w:hAnsi="Calibri" w:eastAsia="Calibri" w:cs="Calibri"/>
      <w:b/>
      <w:color w:val="000000"/>
      <w:sz w:val="36"/>
      <w:szCs w:val="36"/>
      <w:lang w:val="hr-HR" w:eastAsia="zh-CN" w:bidi="hi-IN"/>
    </w:rPr>
  </w:style>
  <w:style w:type="paragraph" w:styleId="Heading3">
    <w:name w:val="Heading 3"/>
    <w:next w:val="Normal"/>
    <w:pPr>
      <w:keepNext/>
      <w:keepLines/>
      <w:widowControl/>
      <w:suppressAutoHyphens w:val="true"/>
      <w:spacing w:lineRule="auto" w:line="240" w:before="280" w:after="80"/>
      <w:contextualSpacing/>
    </w:pPr>
    <w:rPr>
      <w:rFonts w:ascii="Calibri" w:hAnsi="Calibri" w:eastAsia="Calibri" w:cs="Calibri"/>
      <w:b/>
      <w:color w:val="000000"/>
      <w:sz w:val="28"/>
      <w:szCs w:val="28"/>
      <w:lang w:val="hr-HR" w:eastAsia="zh-CN" w:bidi="hi-IN"/>
    </w:rPr>
  </w:style>
  <w:style w:type="paragraph" w:styleId="Heading4">
    <w:name w:val="Heading 4"/>
    <w:next w:val="Normal"/>
    <w:pPr>
      <w:keepNext/>
      <w:keepLines/>
      <w:widowControl/>
      <w:suppressAutoHyphens w:val="true"/>
      <w:spacing w:lineRule="auto" w:line="240" w:before="240" w:after="40"/>
      <w:contextualSpacing/>
    </w:pPr>
    <w:rPr>
      <w:rFonts w:ascii="Calibri" w:hAnsi="Calibri" w:eastAsia="Calibri" w:cs="Calibri"/>
      <w:b/>
      <w:color w:val="000000"/>
      <w:sz w:val="24"/>
      <w:szCs w:val="24"/>
      <w:lang w:val="hr-HR" w:eastAsia="zh-CN" w:bidi="hi-IN"/>
    </w:rPr>
  </w:style>
  <w:style w:type="paragraph" w:styleId="Heading5">
    <w:name w:val="Heading 5"/>
    <w:next w:val="Normal"/>
    <w:pPr>
      <w:keepNext/>
      <w:keepLines/>
      <w:widowControl/>
      <w:suppressAutoHyphens w:val="true"/>
      <w:spacing w:lineRule="auto" w:line="240" w:before="220" w:after="40"/>
      <w:contextualSpacing/>
    </w:pPr>
    <w:rPr>
      <w:rFonts w:ascii="Calibri" w:hAnsi="Calibri" w:eastAsia="Calibri" w:cs="Calibri"/>
      <w:b/>
      <w:color w:val="000000"/>
      <w:sz w:val="22"/>
      <w:szCs w:val="22"/>
      <w:lang w:val="hr-HR" w:eastAsia="zh-CN" w:bidi="hi-IN"/>
    </w:rPr>
  </w:style>
  <w:style w:type="paragraph" w:styleId="Heading6">
    <w:name w:val="Heading 6"/>
    <w:next w:val="Normal"/>
    <w:pPr>
      <w:keepNext/>
      <w:keepLines/>
      <w:widowControl/>
      <w:suppressAutoHyphens w:val="true"/>
      <w:spacing w:lineRule="auto" w:line="240" w:before="200" w:after="40"/>
      <w:contextualSpacing/>
    </w:pPr>
    <w:rPr>
      <w:rFonts w:ascii="Calibri" w:hAnsi="Calibri" w:eastAsia="Calibri" w:cs="Calibri"/>
      <w:b/>
      <w:color w:val="000000"/>
      <w:sz w:val="20"/>
      <w:szCs w:val="20"/>
      <w:lang w:val="hr-HR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Onormal">
    <w:name w:val="LO-normal"/>
    <w:pPr>
      <w:keepNext/>
      <w:keepLines w:val="false"/>
      <w:widowControl/>
      <w:suppressAutoHyphens w:val="true"/>
      <w:overflowPunct w:val="false"/>
      <w:bidi w:val="0"/>
      <w:spacing w:lineRule="auto" w:line="259" w:before="0" w:after="16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  <w:lang w:val="hr-HR" w:eastAsia="zh-CN" w:bidi="hi-IN"/>
    </w:rPr>
  </w:style>
  <w:style w:type="paragraph" w:styleId="Title">
    <w:name w:val="Title"/>
    <w:basedOn w:val="LOnormal"/>
    <w:next w:val="Normal"/>
    <w:pPr>
      <w:keepNext/>
      <w:keepLines/>
      <w:spacing w:lineRule="auto" w:line="240"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LOnormal"/>
    <w:next w:val="Normal"/>
    <w:pPr>
      <w:keepNext/>
      <w:keepLines/>
      <w:spacing w:lineRule="auto" w:line="240"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epozitorij.mef.unizg.hr/en/islandora/object/mef%3A215/datastream/PDF/view" TargetMode="External"/><Relationship Id="rId4" Type="http://schemas.openxmlformats.org/officeDocument/2006/relationships/hyperlink" Target="http://djecja-psihijatrija.hr/depresija-u-djecjoj-i-adolescentnoj-dobi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hr-HR</dc:language>
  <dcterms:modified xsi:type="dcterms:W3CDTF">2016-10-14T21:47:17Z</dcterms:modified>
  <cp:revision>0</cp:revision>
</cp:coreProperties>
</file>