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EB94D" w14:textId="42544DB9" w:rsidR="005C6159" w:rsidRDefault="005C3870" w:rsidP="005C3870">
      <w:pPr>
        <w:jc w:val="center"/>
        <w:rPr>
          <w:rFonts w:asciiTheme="majorHAnsi" w:hAnsiTheme="majorHAnsi" w:cstheme="majorHAnsi"/>
          <w:b/>
          <w:bCs/>
          <w:sz w:val="24"/>
          <w:szCs w:val="24"/>
        </w:rPr>
      </w:pPr>
      <w:bookmarkStart w:id="0" w:name="_GoBack"/>
      <w:bookmarkEnd w:id="0"/>
      <w:r>
        <w:rPr>
          <w:rFonts w:asciiTheme="majorHAnsi" w:hAnsiTheme="majorHAnsi" w:cstheme="majorHAnsi"/>
          <w:b/>
          <w:bCs/>
          <w:sz w:val="24"/>
          <w:szCs w:val="24"/>
        </w:rPr>
        <w:t>Psihoedukacija o izlaganju</w:t>
      </w:r>
    </w:p>
    <w:p w14:paraId="37367DA9" w14:textId="13C4307E" w:rsidR="005C3870" w:rsidRDefault="005C3870" w:rsidP="005C3870">
      <w:pPr>
        <w:rPr>
          <w:rFonts w:asciiTheme="majorHAnsi" w:hAnsiTheme="majorHAnsi" w:cstheme="majorHAnsi"/>
          <w:sz w:val="24"/>
          <w:szCs w:val="24"/>
        </w:rPr>
      </w:pPr>
      <w:r>
        <w:rPr>
          <w:rFonts w:asciiTheme="majorHAnsi" w:hAnsiTheme="majorHAnsi" w:cstheme="majorHAnsi"/>
          <w:sz w:val="24"/>
          <w:szCs w:val="24"/>
        </w:rPr>
        <w:t xml:space="preserve">Izlaganje je najvažnija tehnika za tretman anksioznih poremećaja. Pretpostavka je da se anksioznost kod osoba održava izbjegavanjem zastrašujuće stvari. Cilj izlaganja je da osobe namjerno dođu u kontakt sa znakovima koji izazivaju anksioznost i ostanu u tom kontaktu onoliko koliko je potrebno da počnu shvaćati da se negativne posljedice koje očekuju neće pojaviti i da njihova anksioznost slabi. Taj proces smanjivanja anksioznosti se naziva </w:t>
      </w:r>
      <w:r>
        <w:rPr>
          <w:rFonts w:asciiTheme="majorHAnsi" w:hAnsiTheme="majorHAnsi" w:cstheme="majorHAnsi"/>
          <w:i/>
          <w:iCs/>
          <w:sz w:val="24"/>
          <w:szCs w:val="24"/>
        </w:rPr>
        <w:t>navikavanje.</w:t>
      </w:r>
    </w:p>
    <w:p w14:paraId="6885137C" w14:textId="72AF2CF0" w:rsidR="005C3870" w:rsidRDefault="005C3870" w:rsidP="005C3870">
      <w:pPr>
        <w:rPr>
          <w:rFonts w:asciiTheme="majorHAnsi" w:hAnsiTheme="majorHAnsi" w:cstheme="majorHAnsi"/>
          <w:sz w:val="24"/>
          <w:szCs w:val="24"/>
        </w:rPr>
      </w:pPr>
      <w:r>
        <w:rPr>
          <w:rFonts w:asciiTheme="majorHAnsi" w:hAnsiTheme="majorHAnsi" w:cstheme="majorHAnsi"/>
          <w:sz w:val="24"/>
          <w:szCs w:val="24"/>
        </w:rPr>
        <w:t>Ovisno o poremećaju, različiti znakovi izazivaju anksioznost.</w:t>
      </w:r>
    </w:p>
    <w:tbl>
      <w:tblPr>
        <w:tblStyle w:val="GridTable1Light"/>
        <w:tblW w:w="0" w:type="auto"/>
        <w:tblLook w:val="04A0" w:firstRow="1" w:lastRow="0" w:firstColumn="1" w:lastColumn="0" w:noHBand="0" w:noVBand="1"/>
      </w:tblPr>
      <w:tblGrid>
        <w:gridCol w:w="4675"/>
        <w:gridCol w:w="4675"/>
      </w:tblGrid>
      <w:tr w:rsidR="005C3870" w14:paraId="11038A05" w14:textId="77777777" w:rsidTr="005C38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D80E60E" w14:textId="50F3C029" w:rsidR="005C3870" w:rsidRDefault="005C3870" w:rsidP="005C3870">
            <w:pPr>
              <w:rPr>
                <w:rFonts w:asciiTheme="majorHAnsi" w:hAnsiTheme="majorHAnsi" w:cstheme="majorHAnsi"/>
                <w:sz w:val="24"/>
                <w:szCs w:val="24"/>
              </w:rPr>
            </w:pPr>
            <w:r>
              <w:rPr>
                <w:rFonts w:asciiTheme="majorHAnsi" w:hAnsiTheme="majorHAnsi" w:cstheme="majorHAnsi"/>
                <w:sz w:val="24"/>
                <w:szCs w:val="24"/>
              </w:rPr>
              <w:t>Poremećaj</w:t>
            </w:r>
          </w:p>
        </w:tc>
        <w:tc>
          <w:tcPr>
            <w:tcW w:w="4675" w:type="dxa"/>
          </w:tcPr>
          <w:p w14:paraId="750662A7" w14:textId="021ACD9D" w:rsidR="005C3870" w:rsidRDefault="005C3870" w:rsidP="005C3870">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Znak koji izaziva anksioznost</w:t>
            </w:r>
          </w:p>
        </w:tc>
      </w:tr>
      <w:tr w:rsidR="005C3870" w14:paraId="7B5BDDE4" w14:textId="77777777" w:rsidTr="005C3870">
        <w:tc>
          <w:tcPr>
            <w:cnfStyle w:val="001000000000" w:firstRow="0" w:lastRow="0" w:firstColumn="1" w:lastColumn="0" w:oddVBand="0" w:evenVBand="0" w:oddHBand="0" w:evenHBand="0" w:firstRowFirstColumn="0" w:firstRowLastColumn="0" w:lastRowFirstColumn="0" w:lastRowLastColumn="0"/>
            <w:tcW w:w="4675" w:type="dxa"/>
          </w:tcPr>
          <w:p w14:paraId="4FD2A447" w14:textId="65B74E38" w:rsidR="005C3870" w:rsidRPr="005C3870" w:rsidRDefault="005C3870" w:rsidP="005C3870">
            <w:pPr>
              <w:rPr>
                <w:rFonts w:asciiTheme="majorHAnsi" w:hAnsiTheme="majorHAnsi" w:cstheme="majorHAnsi"/>
                <w:b w:val="0"/>
                <w:bCs w:val="0"/>
                <w:sz w:val="24"/>
                <w:szCs w:val="24"/>
              </w:rPr>
            </w:pPr>
            <w:r>
              <w:rPr>
                <w:rFonts w:asciiTheme="majorHAnsi" w:hAnsiTheme="majorHAnsi" w:cstheme="majorHAnsi"/>
                <w:b w:val="0"/>
                <w:bCs w:val="0"/>
                <w:sz w:val="24"/>
                <w:szCs w:val="24"/>
              </w:rPr>
              <w:t>Specifična fobija</w:t>
            </w:r>
          </w:p>
        </w:tc>
        <w:tc>
          <w:tcPr>
            <w:tcW w:w="4675" w:type="dxa"/>
          </w:tcPr>
          <w:p w14:paraId="5EF5160D" w14:textId="5C484A32" w:rsidR="005C3870" w:rsidRDefault="005C3870" w:rsidP="005C38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Zastrašujući objekt</w:t>
            </w:r>
          </w:p>
        </w:tc>
      </w:tr>
      <w:tr w:rsidR="005C3870" w14:paraId="7CD184B9" w14:textId="77777777" w:rsidTr="005C3870">
        <w:tc>
          <w:tcPr>
            <w:cnfStyle w:val="001000000000" w:firstRow="0" w:lastRow="0" w:firstColumn="1" w:lastColumn="0" w:oddVBand="0" w:evenVBand="0" w:oddHBand="0" w:evenHBand="0" w:firstRowFirstColumn="0" w:firstRowLastColumn="0" w:lastRowFirstColumn="0" w:lastRowLastColumn="0"/>
            <w:tcW w:w="4675" w:type="dxa"/>
          </w:tcPr>
          <w:p w14:paraId="0E5C669F" w14:textId="05D7BBC6" w:rsidR="005C3870" w:rsidRPr="005C3870" w:rsidRDefault="005C3870" w:rsidP="005C3870">
            <w:pPr>
              <w:rPr>
                <w:rFonts w:asciiTheme="majorHAnsi" w:hAnsiTheme="majorHAnsi" w:cstheme="majorHAnsi"/>
                <w:b w:val="0"/>
                <w:bCs w:val="0"/>
                <w:sz w:val="24"/>
                <w:szCs w:val="24"/>
              </w:rPr>
            </w:pPr>
            <w:r>
              <w:rPr>
                <w:rFonts w:asciiTheme="majorHAnsi" w:hAnsiTheme="majorHAnsi" w:cstheme="majorHAnsi"/>
                <w:b w:val="0"/>
                <w:bCs w:val="0"/>
                <w:sz w:val="24"/>
                <w:szCs w:val="24"/>
              </w:rPr>
              <w:t>Socijalna anksioznost</w:t>
            </w:r>
          </w:p>
        </w:tc>
        <w:tc>
          <w:tcPr>
            <w:tcW w:w="4675" w:type="dxa"/>
          </w:tcPr>
          <w:p w14:paraId="09D99FBB" w14:textId="13F112EF" w:rsidR="005C3870" w:rsidRDefault="0003177E" w:rsidP="005C38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Različite socijalne situacije</w:t>
            </w:r>
          </w:p>
        </w:tc>
      </w:tr>
      <w:tr w:rsidR="005C3870" w14:paraId="541B5807" w14:textId="77777777" w:rsidTr="005C3870">
        <w:tc>
          <w:tcPr>
            <w:cnfStyle w:val="001000000000" w:firstRow="0" w:lastRow="0" w:firstColumn="1" w:lastColumn="0" w:oddVBand="0" w:evenVBand="0" w:oddHBand="0" w:evenHBand="0" w:firstRowFirstColumn="0" w:firstRowLastColumn="0" w:lastRowFirstColumn="0" w:lastRowLastColumn="0"/>
            <w:tcW w:w="4675" w:type="dxa"/>
          </w:tcPr>
          <w:p w14:paraId="0CDDAB77" w14:textId="35F904B8" w:rsidR="005C3870" w:rsidRPr="0003177E" w:rsidRDefault="0003177E" w:rsidP="005C3870">
            <w:pPr>
              <w:rPr>
                <w:rFonts w:asciiTheme="majorHAnsi" w:hAnsiTheme="majorHAnsi" w:cstheme="majorHAnsi"/>
                <w:b w:val="0"/>
                <w:bCs w:val="0"/>
                <w:sz w:val="24"/>
                <w:szCs w:val="24"/>
              </w:rPr>
            </w:pPr>
            <w:r>
              <w:rPr>
                <w:rFonts w:asciiTheme="majorHAnsi" w:hAnsiTheme="majorHAnsi" w:cstheme="majorHAnsi"/>
                <w:b w:val="0"/>
                <w:bCs w:val="0"/>
                <w:sz w:val="24"/>
                <w:szCs w:val="24"/>
              </w:rPr>
              <w:t>Postraumatski stresni poremećaj (PTSP)</w:t>
            </w:r>
          </w:p>
        </w:tc>
        <w:tc>
          <w:tcPr>
            <w:tcW w:w="4675" w:type="dxa"/>
          </w:tcPr>
          <w:p w14:paraId="2F07AA41" w14:textId="401C4BAA" w:rsidR="005C3870" w:rsidRDefault="0003177E" w:rsidP="005C38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Sjećanja na traumatski događaj i podražaji koji podsjećaju na taj događaj</w:t>
            </w:r>
          </w:p>
        </w:tc>
      </w:tr>
      <w:tr w:rsidR="005C3870" w14:paraId="448AA703" w14:textId="77777777" w:rsidTr="005C3870">
        <w:tc>
          <w:tcPr>
            <w:cnfStyle w:val="001000000000" w:firstRow="0" w:lastRow="0" w:firstColumn="1" w:lastColumn="0" w:oddVBand="0" w:evenVBand="0" w:oddHBand="0" w:evenHBand="0" w:firstRowFirstColumn="0" w:firstRowLastColumn="0" w:lastRowFirstColumn="0" w:lastRowLastColumn="0"/>
            <w:tcW w:w="4675" w:type="dxa"/>
          </w:tcPr>
          <w:p w14:paraId="380CEB45" w14:textId="3236B96C" w:rsidR="005C3870" w:rsidRPr="0003177E" w:rsidRDefault="0003177E" w:rsidP="005C3870">
            <w:pPr>
              <w:rPr>
                <w:rFonts w:asciiTheme="majorHAnsi" w:hAnsiTheme="majorHAnsi" w:cstheme="majorHAnsi"/>
                <w:b w:val="0"/>
                <w:bCs w:val="0"/>
                <w:sz w:val="24"/>
                <w:szCs w:val="24"/>
              </w:rPr>
            </w:pPr>
            <w:r>
              <w:rPr>
                <w:rFonts w:asciiTheme="majorHAnsi" w:hAnsiTheme="majorHAnsi" w:cstheme="majorHAnsi"/>
                <w:b w:val="0"/>
                <w:bCs w:val="0"/>
                <w:sz w:val="24"/>
                <w:szCs w:val="24"/>
              </w:rPr>
              <w:t>Panični poremećaj</w:t>
            </w:r>
          </w:p>
        </w:tc>
        <w:tc>
          <w:tcPr>
            <w:tcW w:w="4675" w:type="dxa"/>
          </w:tcPr>
          <w:p w14:paraId="62AA9107" w14:textId="0D44A848" w:rsidR="005C3870" w:rsidRDefault="0003177E" w:rsidP="005C38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Tjelesni osjeti koji su okidači za napad panike</w:t>
            </w:r>
          </w:p>
        </w:tc>
      </w:tr>
      <w:tr w:rsidR="0003177E" w14:paraId="528FC55D" w14:textId="77777777" w:rsidTr="005C3870">
        <w:tc>
          <w:tcPr>
            <w:cnfStyle w:val="001000000000" w:firstRow="0" w:lastRow="0" w:firstColumn="1" w:lastColumn="0" w:oddVBand="0" w:evenVBand="0" w:oddHBand="0" w:evenHBand="0" w:firstRowFirstColumn="0" w:firstRowLastColumn="0" w:lastRowFirstColumn="0" w:lastRowLastColumn="0"/>
            <w:tcW w:w="4675" w:type="dxa"/>
          </w:tcPr>
          <w:p w14:paraId="769764DE" w14:textId="09194B2A" w:rsidR="0003177E" w:rsidRDefault="0003177E" w:rsidP="005C3870">
            <w:pPr>
              <w:rPr>
                <w:rFonts w:asciiTheme="majorHAnsi" w:hAnsiTheme="majorHAnsi" w:cstheme="majorHAnsi"/>
                <w:b w:val="0"/>
                <w:bCs w:val="0"/>
                <w:sz w:val="24"/>
                <w:szCs w:val="24"/>
              </w:rPr>
            </w:pPr>
            <w:r>
              <w:rPr>
                <w:rFonts w:asciiTheme="majorHAnsi" w:hAnsiTheme="majorHAnsi" w:cstheme="majorHAnsi"/>
                <w:b w:val="0"/>
                <w:bCs w:val="0"/>
                <w:sz w:val="24"/>
                <w:szCs w:val="24"/>
              </w:rPr>
              <w:t>Agorafobija</w:t>
            </w:r>
          </w:p>
        </w:tc>
        <w:tc>
          <w:tcPr>
            <w:tcW w:w="4675" w:type="dxa"/>
          </w:tcPr>
          <w:p w14:paraId="29057CC1" w14:textId="7350009A" w:rsidR="0003177E" w:rsidRDefault="0003177E" w:rsidP="005C38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Situacije koje osoba izbjegava</w:t>
            </w:r>
          </w:p>
        </w:tc>
      </w:tr>
      <w:tr w:rsidR="0003177E" w14:paraId="114FC065" w14:textId="77777777" w:rsidTr="005C3870">
        <w:tc>
          <w:tcPr>
            <w:cnfStyle w:val="001000000000" w:firstRow="0" w:lastRow="0" w:firstColumn="1" w:lastColumn="0" w:oddVBand="0" w:evenVBand="0" w:oddHBand="0" w:evenHBand="0" w:firstRowFirstColumn="0" w:firstRowLastColumn="0" w:lastRowFirstColumn="0" w:lastRowLastColumn="0"/>
            <w:tcW w:w="4675" w:type="dxa"/>
          </w:tcPr>
          <w:p w14:paraId="1C4AFFDA" w14:textId="7D1480CD" w:rsidR="0003177E" w:rsidRDefault="0003177E" w:rsidP="005C3870">
            <w:pPr>
              <w:rPr>
                <w:rFonts w:asciiTheme="majorHAnsi" w:hAnsiTheme="majorHAnsi" w:cstheme="majorHAnsi"/>
                <w:b w:val="0"/>
                <w:bCs w:val="0"/>
                <w:sz w:val="24"/>
                <w:szCs w:val="24"/>
              </w:rPr>
            </w:pPr>
            <w:r>
              <w:rPr>
                <w:rFonts w:asciiTheme="majorHAnsi" w:hAnsiTheme="majorHAnsi" w:cstheme="majorHAnsi"/>
                <w:b w:val="0"/>
                <w:bCs w:val="0"/>
                <w:sz w:val="24"/>
                <w:szCs w:val="24"/>
              </w:rPr>
              <w:t>Opsesivno-kompulzivni poremećaj</w:t>
            </w:r>
          </w:p>
        </w:tc>
        <w:tc>
          <w:tcPr>
            <w:tcW w:w="4675" w:type="dxa"/>
          </w:tcPr>
          <w:p w14:paraId="0446203F" w14:textId="4BC3DECE" w:rsidR="0003177E" w:rsidRDefault="0003177E" w:rsidP="005C387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r>
              <w:rPr>
                <w:rFonts w:asciiTheme="majorHAnsi" w:hAnsiTheme="majorHAnsi" w:cstheme="majorHAnsi"/>
                <w:sz w:val="24"/>
                <w:szCs w:val="24"/>
              </w:rPr>
              <w:t>Misli, mentalne slike i/ili situacije koje su okidači za opsesivne strahove</w:t>
            </w:r>
          </w:p>
        </w:tc>
      </w:tr>
    </w:tbl>
    <w:p w14:paraId="455BE8E6" w14:textId="0864965C" w:rsidR="005C3870" w:rsidRDefault="005C3870" w:rsidP="005C3870">
      <w:pPr>
        <w:rPr>
          <w:rFonts w:asciiTheme="majorHAnsi" w:hAnsiTheme="majorHAnsi" w:cstheme="majorHAnsi"/>
          <w:sz w:val="24"/>
          <w:szCs w:val="24"/>
        </w:rPr>
      </w:pPr>
    </w:p>
    <w:p w14:paraId="15E8F8BA" w14:textId="033D7159" w:rsidR="0003177E" w:rsidRDefault="0003177E" w:rsidP="005C3870">
      <w:pPr>
        <w:rPr>
          <w:rFonts w:asciiTheme="majorHAnsi" w:hAnsiTheme="majorHAnsi" w:cstheme="majorHAnsi"/>
          <w:sz w:val="24"/>
          <w:szCs w:val="24"/>
        </w:rPr>
      </w:pPr>
      <w:r>
        <w:rPr>
          <w:rFonts w:asciiTheme="majorHAnsi" w:hAnsiTheme="majorHAnsi" w:cstheme="majorHAnsi"/>
          <w:sz w:val="24"/>
          <w:szCs w:val="24"/>
        </w:rPr>
        <w:t>Postoje dvije vrste izlaganja: uživo i u mašti.</w:t>
      </w:r>
    </w:p>
    <w:p w14:paraId="62F794AA" w14:textId="77777777" w:rsidR="00A07079" w:rsidRDefault="00B974B4" w:rsidP="0003177E">
      <w:pPr>
        <w:pStyle w:val="ListParagraph"/>
        <w:numPr>
          <w:ilvl w:val="0"/>
          <w:numId w:val="2"/>
        </w:numPr>
        <w:rPr>
          <w:rFonts w:asciiTheme="majorHAnsi" w:hAnsiTheme="majorHAnsi" w:cstheme="majorHAnsi"/>
          <w:sz w:val="24"/>
          <w:szCs w:val="24"/>
        </w:rPr>
      </w:pPr>
      <w:r w:rsidRPr="00D021B6">
        <w:rPr>
          <w:rFonts w:asciiTheme="majorHAnsi" w:hAnsiTheme="majorHAnsi" w:cstheme="majorHAnsi"/>
          <w:b/>
          <w:bCs/>
          <w:sz w:val="24"/>
          <w:szCs w:val="24"/>
        </w:rPr>
        <w:t>Izlaganje uživo</w:t>
      </w:r>
      <w:r>
        <w:rPr>
          <w:rFonts w:asciiTheme="majorHAnsi" w:hAnsiTheme="majorHAnsi" w:cstheme="majorHAnsi"/>
          <w:sz w:val="24"/>
          <w:szCs w:val="24"/>
        </w:rPr>
        <w:t xml:space="preserve"> odnosi se na </w:t>
      </w:r>
      <w:r w:rsidR="00EF14AF">
        <w:rPr>
          <w:rFonts w:asciiTheme="majorHAnsi" w:hAnsiTheme="majorHAnsi" w:cstheme="majorHAnsi"/>
          <w:sz w:val="24"/>
          <w:szCs w:val="24"/>
        </w:rPr>
        <w:t xml:space="preserve">postupak u kojem se osoba stavlja u kontakt sa znakovima u stvarnim životnim situacijama. Ono se događa izvan terapeutova ureda osim ako znak nije prenosiv poput specifične stvari ili tjelesnog osjeta. Provodi se tako da terapeut prati klijenta tijekom izlaganja ili klijent sam provodi izlaganje kao domaću zadaću. Pokazalo se da većina klijenata može samostalno provesti izlaganje uživo jednom kada su imali barem jedno iskustvo navikavanja u seansi u prisutnosti terapeuta. U situacijama u kojima klijent doživljava visok stupanj anksioznosti, terapeut će ga na početku pratiti, međutim, </w:t>
      </w:r>
      <w:r w:rsidR="00A07079">
        <w:rPr>
          <w:rFonts w:asciiTheme="majorHAnsi" w:hAnsiTheme="majorHAnsi" w:cstheme="majorHAnsi"/>
          <w:sz w:val="24"/>
          <w:szCs w:val="24"/>
        </w:rPr>
        <w:t>brzo će biti isključen, a klijent ohrabren da ponovi izlaganje uživo kao domaću zadaću. Kod visoko anksioznih klijenata terapeut će prvo modelirati izlaganje tako što će on sam ući u kontakt sa zastrašujućim znakom dok klijent gleda te će tek onda tražiti od klijenta da i on to učini.</w:t>
      </w:r>
    </w:p>
    <w:p w14:paraId="6732221F" w14:textId="1C4D17A8" w:rsidR="0003177E" w:rsidRDefault="00A07079" w:rsidP="0003177E">
      <w:pPr>
        <w:pStyle w:val="ListParagraph"/>
        <w:numPr>
          <w:ilvl w:val="0"/>
          <w:numId w:val="2"/>
        </w:numPr>
        <w:rPr>
          <w:rFonts w:asciiTheme="majorHAnsi" w:hAnsiTheme="majorHAnsi" w:cstheme="majorHAnsi"/>
          <w:sz w:val="24"/>
          <w:szCs w:val="24"/>
        </w:rPr>
      </w:pPr>
      <w:r w:rsidRPr="00D021B6">
        <w:rPr>
          <w:rFonts w:asciiTheme="majorHAnsi" w:hAnsiTheme="majorHAnsi" w:cstheme="majorHAnsi"/>
          <w:b/>
          <w:bCs/>
          <w:sz w:val="24"/>
          <w:szCs w:val="24"/>
        </w:rPr>
        <w:t>Izlaganje u mašti</w:t>
      </w:r>
      <w:r w:rsidRPr="0047766E">
        <w:rPr>
          <w:rFonts w:asciiTheme="majorHAnsi" w:hAnsiTheme="majorHAnsi" w:cstheme="majorHAnsi"/>
          <w:sz w:val="24"/>
          <w:szCs w:val="24"/>
        </w:rPr>
        <w:t xml:space="preserve"> se odabire kao metoda u situacijama u kojima izlaganje uživo nije praktično. To može biti zato što su znakovi unutarnji (poput sjećanja ili misli), nisu odmah dostupni (</w:t>
      </w:r>
      <w:r w:rsidR="0047766E" w:rsidRPr="0047766E">
        <w:rPr>
          <w:rFonts w:asciiTheme="majorHAnsi" w:hAnsiTheme="majorHAnsi" w:cstheme="majorHAnsi"/>
          <w:sz w:val="24"/>
          <w:szCs w:val="24"/>
        </w:rPr>
        <w:t>poput izvedbe u javnosti) ili se ne mogu praktično izazvati (poput straha od smrti člana obitelji). Osim toga, kod klijenata koji osjećaju visok stupanj anksioznosti da bi se izlagali uživo</w:t>
      </w:r>
      <w:r w:rsidR="0047766E">
        <w:rPr>
          <w:rFonts w:asciiTheme="majorHAnsi" w:hAnsiTheme="majorHAnsi" w:cstheme="majorHAnsi"/>
          <w:sz w:val="24"/>
          <w:szCs w:val="24"/>
        </w:rPr>
        <w:t xml:space="preserve"> može biti korisno prvo koristiti ovu vrstu izlaganja.</w:t>
      </w:r>
    </w:p>
    <w:p w14:paraId="5491361D" w14:textId="388235D7" w:rsidR="006500B7" w:rsidRDefault="006500B7" w:rsidP="006500B7">
      <w:pPr>
        <w:pStyle w:val="ListParagraph"/>
        <w:rPr>
          <w:rFonts w:asciiTheme="majorHAnsi" w:hAnsiTheme="majorHAnsi" w:cstheme="majorHAnsi"/>
          <w:sz w:val="24"/>
          <w:szCs w:val="24"/>
        </w:rPr>
      </w:pPr>
      <w:r>
        <w:rPr>
          <w:rFonts w:asciiTheme="majorHAnsi" w:hAnsiTheme="majorHAnsi" w:cstheme="majorHAnsi"/>
          <w:sz w:val="24"/>
          <w:szCs w:val="24"/>
        </w:rPr>
        <w:t>Izlaganje u mašti uključuje da pacijenti zamišljaju da dolaze u kontakt s vanjskim znakovima, odnosno da namjerno izazivaju unutarnje znakove (ako su znakovi sjećanja ili misli). Radi se na način da klijent sjedi u opuštenom položaju sa zatvorenim očima, govori u diktafon dok istovremeno pokušava vizualizirati znakove. Kod izlaganja sjećanjima, klijent prepričava slijed događaja</w:t>
      </w:r>
      <w:r w:rsidR="00CE7D8A">
        <w:rPr>
          <w:rFonts w:asciiTheme="majorHAnsi" w:hAnsiTheme="majorHAnsi" w:cstheme="majorHAnsi"/>
          <w:sz w:val="24"/>
          <w:szCs w:val="24"/>
        </w:rPr>
        <w:t xml:space="preserve">, a terapeut može za to vrijeme pitati o specifičnim </w:t>
      </w:r>
      <w:r w:rsidR="00CE7D8A">
        <w:rPr>
          <w:rFonts w:asciiTheme="majorHAnsi" w:hAnsiTheme="majorHAnsi" w:cstheme="majorHAnsi"/>
          <w:sz w:val="24"/>
          <w:szCs w:val="24"/>
        </w:rPr>
        <w:lastRenderedPageBreak/>
        <w:t>osjetima i emocijama koje je doživljavao u to vrijeme. Kod zamišljenog scenarija, terapeut priča scenarij te povremeno pita klijenta što bi mislio, osjećao doživljavao ili činio na način da zahvati sve klijentove katastrofične strahove. Od klijenta koji se boji specifičnih misli, terapeut može tražiti da se snime dok naglas ponavlja misli 30 do 60 sekundi i zatim ponavljano sluša snimku.</w:t>
      </w:r>
    </w:p>
    <w:p w14:paraId="76583EDC" w14:textId="610B9E48" w:rsidR="00CE7D8A" w:rsidRDefault="00CE7D8A" w:rsidP="006500B7">
      <w:pPr>
        <w:pStyle w:val="ListParagraph"/>
        <w:rPr>
          <w:rFonts w:asciiTheme="majorHAnsi" w:hAnsiTheme="majorHAnsi" w:cstheme="majorHAnsi"/>
          <w:sz w:val="24"/>
          <w:szCs w:val="24"/>
        </w:rPr>
      </w:pPr>
      <w:r>
        <w:rPr>
          <w:rFonts w:asciiTheme="majorHAnsi" w:hAnsiTheme="majorHAnsi" w:cstheme="majorHAnsi"/>
          <w:sz w:val="24"/>
          <w:szCs w:val="24"/>
        </w:rPr>
        <w:t>Drugi oblici izlaganja u mašti uključuju pisanje, crtanje ili slikanje zastrašujućeg znaka, te igranje uloga što je posebno korisno kod klijenata sa socijalnom anksioznošću.</w:t>
      </w:r>
    </w:p>
    <w:p w14:paraId="15C41516" w14:textId="29EAF627" w:rsidR="00CE7D8A" w:rsidRDefault="00CE7D8A" w:rsidP="00CE7D8A">
      <w:pPr>
        <w:rPr>
          <w:rFonts w:asciiTheme="majorHAnsi" w:hAnsiTheme="majorHAnsi" w:cstheme="majorHAnsi"/>
          <w:sz w:val="24"/>
          <w:szCs w:val="24"/>
        </w:rPr>
      </w:pPr>
      <w:r>
        <w:rPr>
          <w:rFonts w:asciiTheme="majorHAnsi" w:hAnsiTheme="majorHAnsi" w:cstheme="majorHAnsi"/>
          <w:sz w:val="24"/>
          <w:szCs w:val="24"/>
        </w:rPr>
        <w:t>Postoje četiri koraka kod izlaganja uživo i u mašti: priprema, oblikovanje hijerarhije izlaganja, početno izlaganje i ponavljano izlaganje.</w:t>
      </w:r>
    </w:p>
    <w:p w14:paraId="35F1EF7D" w14:textId="37710385" w:rsidR="00CE7D8A" w:rsidRDefault="00CE7D8A" w:rsidP="00CE7D8A">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Budući da je izlaganje zahtjevan tretman koji traži od klijenta prilično visoku razinu anksioznosti, pacijente treba </w:t>
      </w:r>
      <w:r w:rsidRPr="00D021B6">
        <w:rPr>
          <w:rFonts w:asciiTheme="majorHAnsi" w:hAnsiTheme="majorHAnsi" w:cstheme="majorHAnsi"/>
          <w:b/>
          <w:bCs/>
          <w:sz w:val="24"/>
          <w:szCs w:val="24"/>
        </w:rPr>
        <w:t>unaprijed pripremiti</w:t>
      </w:r>
      <w:r>
        <w:rPr>
          <w:rFonts w:asciiTheme="majorHAnsi" w:hAnsiTheme="majorHAnsi" w:cstheme="majorHAnsi"/>
          <w:sz w:val="24"/>
          <w:szCs w:val="24"/>
        </w:rPr>
        <w:t>. Treba im jasno objasniti logiku izlaganja i proceduru kojom će se provesti</w:t>
      </w:r>
      <w:r w:rsidR="00ED5E07">
        <w:rPr>
          <w:rFonts w:asciiTheme="majorHAnsi" w:hAnsiTheme="majorHAnsi" w:cstheme="majorHAnsi"/>
          <w:sz w:val="24"/>
          <w:szCs w:val="24"/>
        </w:rPr>
        <w:t xml:space="preserve"> te raspraviti sve pacijentove brige. Razgovara se o prednostima i nedostacima tehnike. Kod nekih pacijenata ovaj proces bude kratak, dok kod anksioznijih može potrajati i nekoliko susreta.</w:t>
      </w:r>
    </w:p>
    <w:p w14:paraId="05A0D6D8" w14:textId="15579F7E" w:rsidR="00ED5E07" w:rsidRDefault="00ED5E07" w:rsidP="00CE7D8A">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Potom se </w:t>
      </w:r>
      <w:r w:rsidRPr="00D021B6">
        <w:rPr>
          <w:rFonts w:asciiTheme="majorHAnsi" w:hAnsiTheme="majorHAnsi" w:cstheme="majorHAnsi"/>
          <w:b/>
          <w:bCs/>
          <w:sz w:val="24"/>
          <w:szCs w:val="24"/>
        </w:rPr>
        <w:t>oblikuje hijerarhija izlaganja</w:t>
      </w:r>
      <w:r>
        <w:rPr>
          <w:rFonts w:asciiTheme="majorHAnsi" w:hAnsiTheme="majorHAnsi" w:cstheme="majorHAnsi"/>
          <w:sz w:val="24"/>
          <w:szCs w:val="24"/>
        </w:rPr>
        <w:t xml:space="preserve"> na način da se od klijenta traži da opiše sve podražaje koji mu izazivaju anksioznost.</w:t>
      </w:r>
      <w:r w:rsidR="00AA42DE">
        <w:rPr>
          <w:rFonts w:asciiTheme="majorHAnsi" w:hAnsiTheme="majorHAnsi" w:cstheme="majorHAnsi"/>
          <w:sz w:val="24"/>
          <w:szCs w:val="24"/>
        </w:rPr>
        <w:t xml:space="preserve"> Uči ga se da procijeni svoju anksioznost na ljestvici od 0 (nema anksioznosti) do 10 (najveća anksioznost koju je klijent ikad doživio). Ovaj postupak se naziva </w:t>
      </w:r>
      <w:r w:rsidR="00AA42DE">
        <w:rPr>
          <w:rFonts w:asciiTheme="majorHAnsi" w:hAnsiTheme="majorHAnsi" w:cstheme="majorHAnsi"/>
          <w:i/>
          <w:iCs/>
          <w:sz w:val="24"/>
          <w:szCs w:val="24"/>
        </w:rPr>
        <w:t xml:space="preserve">subjektivna jedinica nelagode </w:t>
      </w:r>
      <w:r w:rsidR="00AA42DE">
        <w:rPr>
          <w:rFonts w:asciiTheme="majorHAnsi" w:hAnsiTheme="majorHAnsi" w:cstheme="majorHAnsi"/>
          <w:sz w:val="24"/>
          <w:szCs w:val="24"/>
        </w:rPr>
        <w:t xml:space="preserve">ili SUD. Klijent svakom znaku pridodaje SUD procjenu. Nakon toga se znakovi poredaju počevši od onoga koji izaziva najmanju anksioznost prema onome koji izaziva najvišu, a takav popis se naziva </w:t>
      </w:r>
      <w:r w:rsidR="00AA42DE">
        <w:rPr>
          <w:rFonts w:asciiTheme="majorHAnsi" w:hAnsiTheme="majorHAnsi" w:cstheme="majorHAnsi"/>
          <w:i/>
          <w:iCs/>
          <w:sz w:val="24"/>
          <w:szCs w:val="24"/>
        </w:rPr>
        <w:t>hijerarhija izlaganja.</w:t>
      </w:r>
    </w:p>
    <w:p w14:paraId="5D8E7180" w14:textId="40E84ECD" w:rsidR="00AA42DE" w:rsidRDefault="00AA42DE" w:rsidP="00CE7D8A">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Ako sve stavke na klijentovoj hijerarhiji izazivaju značajan strah, za </w:t>
      </w:r>
      <w:r w:rsidRPr="00D021B6">
        <w:rPr>
          <w:rFonts w:asciiTheme="majorHAnsi" w:hAnsiTheme="majorHAnsi" w:cstheme="majorHAnsi"/>
          <w:b/>
          <w:bCs/>
          <w:sz w:val="24"/>
          <w:szCs w:val="24"/>
        </w:rPr>
        <w:t>početno izlaganje</w:t>
      </w:r>
      <w:r>
        <w:rPr>
          <w:rFonts w:asciiTheme="majorHAnsi" w:hAnsiTheme="majorHAnsi" w:cstheme="majorHAnsi"/>
          <w:sz w:val="24"/>
          <w:szCs w:val="24"/>
        </w:rPr>
        <w:t xml:space="preserve"> bira se stavka koja izaziva najmanju anksioznost. S druge strane, ako neke stavke izazivaju samo nisku razinu straha (SUD 3 i manje), najbolje je početi sa stavkom koja izaziva umjerenu anksioznost (SUD 4 i više). Početno se izlaganje u pravilu provodi tijekom terapijske seanse tako da se klijent upoznaje s podražajem koji izaziva anksioznost i s tim podražajem ostaje u kontaktu sve dok se na njega navikne. </w:t>
      </w:r>
      <w:r w:rsidR="0062331E">
        <w:rPr>
          <w:rFonts w:asciiTheme="majorHAnsi" w:hAnsiTheme="majorHAnsi" w:cstheme="majorHAnsi"/>
          <w:sz w:val="24"/>
          <w:szCs w:val="24"/>
        </w:rPr>
        <w:t>Klijent mora povremeno dati trenutnu SUD procjenu. Najčešće SUD procjene u početku rastu, zatim dosižu plato i počnu padati. Izlaganje traje sve dok se SUD procjena ne smanji za pola. Važno je da se izlaganje ne prekine prije nego što je klijentova anksioznost pala jer u tom slučaju veza između podražaja i reakcije anksioznosti postaje jača.</w:t>
      </w:r>
    </w:p>
    <w:p w14:paraId="2B23E46B" w14:textId="7ADD444F" w:rsidR="0062331E" w:rsidRDefault="0062331E" w:rsidP="00CE7D8A">
      <w:pPr>
        <w:pStyle w:val="ListParagraph"/>
        <w:numPr>
          <w:ilvl w:val="0"/>
          <w:numId w:val="3"/>
        </w:numPr>
        <w:rPr>
          <w:rFonts w:asciiTheme="majorHAnsi" w:hAnsiTheme="majorHAnsi" w:cstheme="majorHAnsi"/>
          <w:sz w:val="24"/>
          <w:szCs w:val="24"/>
        </w:rPr>
      </w:pPr>
      <w:r>
        <w:rPr>
          <w:rFonts w:asciiTheme="majorHAnsi" w:hAnsiTheme="majorHAnsi" w:cstheme="majorHAnsi"/>
          <w:sz w:val="24"/>
          <w:szCs w:val="24"/>
        </w:rPr>
        <w:t xml:space="preserve">Nakon početnog izlaganja, od klijenta se traži da </w:t>
      </w:r>
      <w:r w:rsidRPr="00D021B6">
        <w:rPr>
          <w:rFonts w:asciiTheme="majorHAnsi" w:hAnsiTheme="majorHAnsi" w:cstheme="majorHAnsi"/>
          <w:b/>
          <w:bCs/>
          <w:sz w:val="24"/>
          <w:szCs w:val="24"/>
        </w:rPr>
        <w:t>svakodnevno ponavlja izlaganje</w:t>
      </w:r>
      <w:r>
        <w:rPr>
          <w:rFonts w:asciiTheme="majorHAnsi" w:hAnsiTheme="majorHAnsi" w:cstheme="majorHAnsi"/>
          <w:sz w:val="24"/>
          <w:szCs w:val="24"/>
        </w:rPr>
        <w:t xml:space="preserve"> kao domaću zadaću. Klijent bilježi SUD procjene i nastavlja izlaganje dok se SUD procjene ne smanje za pola. S ponavljanjem, najviša SUD procjena koja se postiže tijekom svakog izlaganja će se smanjiti. Jednom kad podražaj ne izaziva značajnu anksioznost, klijent kreće na sljedeći podražaj s hijerarhije izlaganja.</w:t>
      </w:r>
    </w:p>
    <w:p w14:paraId="15929000" w14:textId="0CDAAA9F" w:rsidR="0062331E" w:rsidRDefault="0062331E" w:rsidP="0062331E">
      <w:pPr>
        <w:rPr>
          <w:rFonts w:asciiTheme="majorHAnsi" w:hAnsiTheme="majorHAnsi" w:cstheme="majorHAnsi"/>
          <w:sz w:val="24"/>
          <w:szCs w:val="24"/>
        </w:rPr>
      </w:pPr>
      <w:r w:rsidRPr="0062331E">
        <w:rPr>
          <w:rFonts w:asciiTheme="majorHAnsi" w:hAnsiTheme="majorHAnsi" w:cstheme="majorHAnsi"/>
          <w:sz w:val="24"/>
          <w:szCs w:val="24"/>
        </w:rPr>
        <w:t xml:space="preserve">Izlaganje je najučinkovitije kada se sastoji od jasno određenih zadataka koji izazivaju anksioznost, koji se produžuju dok ne nastupi navikavanje i koji se ponavljaju dok se reakcija anksioznosti ne </w:t>
      </w:r>
      <w:r w:rsidRPr="0062331E">
        <w:rPr>
          <w:rFonts w:asciiTheme="majorHAnsi" w:hAnsiTheme="majorHAnsi" w:cstheme="majorHAnsi"/>
          <w:sz w:val="24"/>
          <w:szCs w:val="24"/>
        </w:rPr>
        <w:lastRenderedPageBreak/>
        <w:t>smanji ponavljanjima. Kada jedan od ova tri kriterija nije zadovoljen, izlaganje neće biti učinkovito.</w:t>
      </w:r>
      <w:r>
        <w:rPr>
          <w:rFonts w:asciiTheme="majorHAnsi" w:hAnsiTheme="majorHAnsi" w:cstheme="majorHAnsi"/>
          <w:sz w:val="24"/>
          <w:szCs w:val="24"/>
        </w:rPr>
        <w:t xml:space="preserve"> </w:t>
      </w:r>
    </w:p>
    <w:p w14:paraId="3BD05C0C" w14:textId="03499A4C" w:rsidR="007D0E16" w:rsidRDefault="007D0E16" w:rsidP="0062331E">
      <w:pPr>
        <w:rPr>
          <w:rFonts w:asciiTheme="majorHAnsi" w:hAnsiTheme="majorHAnsi" w:cstheme="majorHAnsi"/>
          <w:sz w:val="24"/>
          <w:szCs w:val="24"/>
        </w:rPr>
      </w:pPr>
      <w:r>
        <w:rPr>
          <w:rFonts w:asciiTheme="majorHAnsi" w:hAnsiTheme="majorHAnsi" w:cstheme="majorHAnsi"/>
          <w:sz w:val="24"/>
          <w:szCs w:val="24"/>
        </w:rPr>
        <w:t>Ako početno izlaganje ne izaziva anksioznost, obično se radi o jednom od dva razloga: zadatak izlaganja ne uključuje značajne podražaje koji izazivaju anksioznosti ili se klijent uključuje u neki suptilan oblik izbjegavanja, poput distrakcije, nepotpunog uključivanja u podražaje ili korištenje sigurnosnih ponašanja. Klijente se u tim situacijama ohrabruje da se usmjere na zadatak i napuste sva sigurnosna ponašanja. Ako izlaganje i dalje ne izaziva anksioznost, treba ispitati druge podražaje.</w:t>
      </w:r>
    </w:p>
    <w:p w14:paraId="39B0FE5F" w14:textId="749487EF" w:rsidR="007D0E16" w:rsidRDefault="007D0E16" w:rsidP="0062331E">
      <w:pPr>
        <w:rPr>
          <w:rFonts w:asciiTheme="majorHAnsi" w:hAnsiTheme="majorHAnsi" w:cstheme="majorHAnsi"/>
          <w:sz w:val="24"/>
          <w:szCs w:val="24"/>
        </w:rPr>
      </w:pPr>
      <w:r>
        <w:rPr>
          <w:rFonts w:asciiTheme="majorHAnsi" w:hAnsiTheme="majorHAnsi" w:cstheme="majorHAnsi"/>
          <w:sz w:val="24"/>
          <w:szCs w:val="24"/>
        </w:rPr>
        <w:t>Ako ne dođe do pada SUD procjena tijekom izlaganja, najčešće se radi o tome da izlaganje nije trajalo dovoljno dugo. Ako klijenti ne pokažu smanjenje anksioznosti u reakciji na podražaj tijekom vremena, vjerojatno je da se izlaganje nije dovoljno ponavljalo te ga treba nastaviti dok najveća anksioznost izazvana podražajem u određeni dan ne bude minimalna.</w:t>
      </w:r>
    </w:p>
    <w:p w14:paraId="012FC866" w14:textId="15577E09" w:rsidR="00D13FC0" w:rsidRPr="0062331E" w:rsidRDefault="00D13FC0" w:rsidP="00D13FC0">
      <w:pPr>
        <w:jc w:val="right"/>
        <w:rPr>
          <w:rFonts w:asciiTheme="majorHAnsi" w:hAnsiTheme="majorHAnsi" w:cstheme="majorHAnsi"/>
          <w:sz w:val="24"/>
          <w:szCs w:val="24"/>
        </w:rPr>
      </w:pPr>
    </w:p>
    <w:sectPr w:rsidR="00D13FC0" w:rsidRPr="006233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96B31"/>
    <w:multiLevelType w:val="hybridMultilevel"/>
    <w:tmpl w:val="EEA272AA"/>
    <w:lvl w:ilvl="0" w:tplc="389E6C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923269"/>
    <w:multiLevelType w:val="hybridMultilevel"/>
    <w:tmpl w:val="68227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51FFC"/>
    <w:multiLevelType w:val="hybridMultilevel"/>
    <w:tmpl w:val="56F8F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F0"/>
    <w:rsid w:val="0003177E"/>
    <w:rsid w:val="002D094C"/>
    <w:rsid w:val="0047766E"/>
    <w:rsid w:val="005C3870"/>
    <w:rsid w:val="005C6159"/>
    <w:rsid w:val="0062331E"/>
    <w:rsid w:val="006500B7"/>
    <w:rsid w:val="007D0E16"/>
    <w:rsid w:val="00974AF0"/>
    <w:rsid w:val="00A07079"/>
    <w:rsid w:val="00AA42DE"/>
    <w:rsid w:val="00B974B4"/>
    <w:rsid w:val="00BF48E0"/>
    <w:rsid w:val="00CE7D8A"/>
    <w:rsid w:val="00D021B6"/>
    <w:rsid w:val="00D13FC0"/>
    <w:rsid w:val="00ED5E07"/>
    <w:rsid w:val="00EF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FECD"/>
  <w15:chartTrackingRefBased/>
  <w15:docId w15:val="{796DE27E-C658-4837-A3E9-BFEE3AF3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C387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031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5851</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Barbarić</dc:creator>
  <cp:keywords/>
  <dc:description/>
  <cp:lastModifiedBy>hubikotvr@outlook.com</cp:lastModifiedBy>
  <cp:revision>2</cp:revision>
  <dcterms:created xsi:type="dcterms:W3CDTF">2023-03-10T18:54:00Z</dcterms:created>
  <dcterms:modified xsi:type="dcterms:W3CDTF">2023-03-10T18:54:00Z</dcterms:modified>
</cp:coreProperties>
</file>